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Helvetica Neue" w:cs="Helvetica Neue" w:eastAsia="Helvetica Neue" w:hAnsi="Helvetica Neue"/>
        </w:rPr>
      </w:pPr>
      <w:bookmarkStart w:colFirst="0" w:colLast="0" w:name="_heading=h.73lbi0n8hdj6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Helvetica Neue" w:cs="Helvetica Neue" w:eastAsia="Helvetica Neue" w:hAnsi="Helvetica Neue"/>
          <w:color w:val="003c82"/>
          <w:sz w:val="32"/>
          <w:szCs w:val="32"/>
        </w:rPr>
      </w:pPr>
      <w:r w:rsidDel="00000000" w:rsidR="00000000" w:rsidRPr="00000000">
        <w:rPr>
          <w:rFonts w:ascii="Helvetica Neue" w:cs="Helvetica Neue" w:eastAsia="Helvetica Neue" w:hAnsi="Helvetica Neue"/>
          <w:color w:val="003c82"/>
          <w:sz w:val="32"/>
          <w:szCs w:val="32"/>
        </w:rPr>
        <w:drawing>
          <wp:inline distB="0" distT="0" distL="0" distR="0">
            <wp:extent cx="3048000" cy="1216000"/>
            <wp:effectExtent b="0" l="0" r="0" t="0"/>
            <wp:docPr descr="A blue and white logo&#10;&#10;Description automatically generated" id="2077838574" name="image1.jpg"/>
            <a:graphic>
              <a:graphicData uri="http://schemas.openxmlformats.org/drawingml/2006/picture">
                <pic:pic>
                  <pic:nvPicPr>
                    <pic:cNvPr descr="A blue and white logo&#10;&#10;Description automatically generated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216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Helvetica Neue" w:cs="Helvetica Neue" w:eastAsia="Helvetica Neue" w:hAnsi="Helvetica Neue"/>
        </w:rPr>
      </w:pPr>
      <w:r w:rsidDel="00000000" w:rsidR="00000000" w:rsidRPr="00000000">
        <w:rPr>
          <w:rFonts w:ascii="Helvetica Neue" w:cs="Helvetica Neue" w:eastAsia="Helvetica Neue" w:hAnsi="Helvetica Neue"/>
          <w:color w:val="003c82"/>
          <w:sz w:val="32"/>
          <w:szCs w:val="32"/>
          <w:rtl w:val="0"/>
        </w:rPr>
        <w:t xml:space="preserve">DRONE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0" w:lineRule="auto"/>
        <w:jc w:val="center"/>
        <w:rPr>
          <w:rFonts w:ascii="Helvetica Neue" w:cs="Helvetica Neue" w:eastAsia="Helvetica Neue" w:hAnsi="Helvetica Neue"/>
          <w:color w:val="000000"/>
        </w:rPr>
      </w:pPr>
      <w:r w:rsidDel="00000000" w:rsidR="00000000" w:rsidRPr="00000000">
        <w:rPr>
          <w:rFonts w:ascii="Helvetica Neue" w:cs="Helvetica Neue" w:eastAsia="Helvetica Neue" w:hAnsi="Helvetica Neue"/>
          <w:color w:val="000000"/>
          <w:rtl w:val="0"/>
        </w:rPr>
        <w:t xml:space="preserve">Formazione di insegnanti e dirigenti scolastici per promuovere l'alfabetizzazione digitale e combattere la diffusione della disinformazione tra i gruppi vulnerabili di adolescenti</w:t>
      </w:r>
    </w:p>
    <w:p w:rsidR="00000000" w:rsidDel="00000000" w:rsidP="00000000" w:rsidRDefault="00000000" w:rsidRPr="00000000" w14:paraId="00000005">
      <w:pPr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20" w:before="600" w:lineRule="auto"/>
        <w:jc w:val="center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Helvetica Neue" w:cs="Helvetica Neue" w:eastAsia="Helvetica Neue" w:hAnsi="Helvetica Neue"/>
          <w:color w:val="003c82"/>
          <w:sz w:val="32"/>
          <w:szCs w:val="32"/>
        </w:rPr>
      </w:pPr>
      <w:bookmarkStart w:colFirst="0" w:colLast="0" w:name="_heading=h.23ckvvd" w:id="1"/>
      <w:bookmarkEnd w:id="1"/>
      <w:r w:rsidDel="00000000" w:rsidR="00000000" w:rsidRPr="00000000">
        <w:br w:type="page"/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1447800</wp:posOffset>
            </wp:positionH>
            <wp:positionV relativeFrom="paragraph">
              <wp:posOffset>2537460</wp:posOffset>
            </wp:positionV>
            <wp:extent cx="3208655" cy="711200"/>
            <wp:effectExtent b="0" l="0" r="0" t="0"/>
            <wp:wrapSquare wrapText="bothSides" distB="0" distT="0" distL="114300" distR="114300"/>
            <wp:docPr descr="Blue text on a black background&#10;&#10;Description automatically generated" id="2077838573" name="image2.png"/>
            <a:graphic>
              <a:graphicData uri="http://schemas.openxmlformats.org/drawingml/2006/picture">
                <pic:pic>
                  <pic:nvPicPr>
                    <pic:cNvPr descr="Blue text on a black background&#10;&#10;Description automatically generated"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08655" cy="7112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2">
      <w:pPr>
        <w:pStyle w:val="Heading1"/>
        <w:jc w:val="both"/>
        <w:rPr>
          <w:rFonts w:ascii="Cambria" w:cs="Cambria" w:eastAsia="Cambria" w:hAnsi="Cambria"/>
          <w:sz w:val="40"/>
          <w:szCs w:val="40"/>
        </w:rPr>
      </w:pPr>
      <w:r w:rsidDel="00000000" w:rsidR="00000000" w:rsidRPr="00000000">
        <w:rPr>
          <w:rFonts w:ascii="Cambria" w:cs="Cambria" w:eastAsia="Cambria" w:hAnsi="Cambria"/>
          <w:sz w:val="40"/>
          <w:szCs w:val="40"/>
          <w:rtl w:val="0"/>
        </w:rPr>
        <w:t xml:space="preserve">Comprendere i quadri di riferimento per l'alfabetizzazione informativa: UNESCO e ACRL</w:t>
      </w:r>
    </w:p>
    <w:p w:rsidR="00000000" w:rsidDel="00000000" w:rsidP="00000000" w:rsidRDefault="00000000" w:rsidRPr="00000000" w14:paraId="00000013">
      <w:pPr>
        <w:jc w:val="both"/>
        <w:rPr>
          <w:rFonts w:ascii="Cambria" w:cs="Cambria" w:eastAsia="Cambria" w:hAnsi="Cambria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L'alfabetizzazione informativa è una competenza fondamentale nell'era digitale, che consente alle persone di valutare criticamente, accedere e utilizzare le informazioni in modo efficace. Due importanti quadri di riferimento guidano gli educatori e gli studenti nello sviluppo di queste competenze: il quadro di riferimento dell'UNESCO e il quadro di riferimento dell'ACRL (Association of College and Research Libraries) per l'alfabetizzazione informatica.</w:t>
      </w:r>
    </w:p>
    <w:p w:rsidR="00000000" w:rsidDel="00000000" w:rsidP="00000000" w:rsidRDefault="00000000" w:rsidRPr="00000000" w14:paraId="00000015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2"/>
        <w:jc w:val="both"/>
        <w:rPr>
          <w:rFonts w:ascii="Cambria" w:cs="Cambria" w:eastAsia="Cambria" w:hAnsi="Cambria"/>
          <w:sz w:val="40"/>
          <w:szCs w:val="40"/>
        </w:rPr>
      </w:pPr>
      <w:r w:rsidDel="00000000" w:rsidR="00000000" w:rsidRPr="00000000">
        <w:rPr>
          <w:rFonts w:ascii="Cambria" w:cs="Cambria" w:eastAsia="Cambria" w:hAnsi="Cambria"/>
          <w:sz w:val="40"/>
          <w:szCs w:val="40"/>
          <w:rtl w:val="0"/>
        </w:rPr>
        <w:t xml:space="preserve">Quadro dell'UNESCO per l'alfabetizzazione informativa</w:t>
      </w:r>
    </w:p>
    <w:p w:rsidR="00000000" w:rsidDel="00000000" w:rsidP="00000000" w:rsidRDefault="00000000" w:rsidRPr="00000000" w14:paraId="00000017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L'UNESCO definisce l'alfabetizzazione informativa come la capacità di identificare, individuare, valutare e utilizzare efficacemente le informazioni per risolvere problemi e prendere decisioni. Sottolinea il ruolo dell'alfabetizzazione informativa nell'apprendimento permanente, nella partecipazione democratica e nello sviluppo sostenibile. I principi fondamentali includono: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Promuovere l'accesso all'informazione come diritto umano.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Incoraggiare il pensiero critico e l'uso etico delle informazioni.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Sostenere l'inclusione digitale e l'accesso equo alla conoscenza.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Integrare l'alfabetizzazione mediatica e informativa nei sistemi educativi.</w:t>
      </w:r>
    </w:p>
    <w:p w:rsidR="00000000" w:rsidDel="00000000" w:rsidP="00000000" w:rsidRDefault="00000000" w:rsidRPr="00000000" w14:paraId="0000001D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Ad esempio, un dirigente scolastico potrebbe utilizzare questo quadro di riferimento per promuovere un accesso equo alle risorse digitali per tutti gli studenti. I genitori possono utilizzarlo per guidare le conversazioni con i figli sulla valutazione dei contenuti online. Gli insegnanti possono integrare l'alfabetizzazione mediatica nelle discussioni in classe per promuovere il pensiero critico.</w:t>
      </w:r>
    </w:p>
    <w:p w:rsidR="00000000" w:rsidDel="00000000" w:rsidP="00000000" w:rsidRDefault="00000000" w:rsidRPr="00000000" w14:paraId="0000001E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Style w:val="Heading3"/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L'accesso all'informazione come diritto umano</w:t>
      </w:r>
    </w:p>
    <w:p w:rsidR="00000000" w:rsidDel="00000000" w:rsidP="00000000" w:rsidRDefault="00000000" w:rsidRPr="00000000" w14:paraId="00000020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Tutti dovrebbero avere la possibilità di accedere a informazioni affidabili, diversificate e inclusive.</w:t>
      </w:r>
    </w:p>
    <w:p w:rsidR="00000000" w:rsidDel="00000000" w:rsidP="00000000" w:rsidRDefault="00000000" w:rsidRPr="00000000" w14:paraId="00000021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Esempi: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Dirigenti scolastici: garantire che tutti gli studenti abbiano accesso a Internet e a dispositivi digitali.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Insegnanti: forni</w:t>
      </w: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r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 materiali in diversi formati (testo, audio, video) per soddisfare le diverse esigenze.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Genitori: promuove</w:t>
      </w: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r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 l'accesso digitale a casa e nella comunità.</w:t>
      </w:r>
    </w:p>
    <w:p w:rsidR="00000000" w:rsidDel="00000000" w:rsidP="00000000" w:rsidRDefault="00000000" w:rsidRPr="00000000" w14:paraId="00000025">
      <w:pPr>
        <w:pStyle w:val="Heading3"/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Pensiero critico e uso etico delle informazioni</w:t>
      </w:r>
    </w:p>
    <w:p w:rsidR="00000000" w:rsidDel="00000000" w:rsidP="00000000" w:rsidRDefault="00000000" w:rsidRPr="00000000" w14:paraId="00000026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Gli studenti devono mettere in discussione le fonti, verificare i fatti e utilizzare le informazioni in modo responsabile.</w:t>
      </w:r>
    </w:p>
    <w:p w:rsidR="00000000" w:rsidDel="00000000" w:rsidP="00000000" w:rsidRDefault="00000000" w:rsidRPr="00000000" w14:paraId="00000027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Esempi: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Dirigenti scolastici: promuovere una politica a livello scolastico sull'onestà accademica e la cittadinanza digitale.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Insegnanti: insegna</w:t>
      </w: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r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 agli studenti come individuare i pregiudizi e le informazioni errate nei media.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Genitori: discutere con i figli su come riconoscere i clickbait o le fake news.</w:t>
      </w:r>
    </w:p>
    <w:p w:rsidR="00000000" w:rsidDel="00000000" w:rsidP="00000000" w:rsidRDefault="00000000" w:rsidRPr="00000000" w14:paraId="0000002B">
      <w:pPr>
        <w:pStyle w:val="Heading3"/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Inclusione digitale e accesso equo alla conoscenza</w:t>
      </w:r>
    </w:p>
    <w:p w:rsidR="00000000" w:rsidDel="00000000" w:rsidP="00000000" w:rsidRDefault="00000000" w:rsidRPr="00000000" w14:paraId="0000002C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Colmare il divario digitale in modo che tutti gli individui, indipendentemente dal loro background, possano partecipare alla società dell'informazione.</w:t>
      </w:r>
    </w:p>
    <w:p w:rsidR="00000000" w:rsidDel="00000000" w:rsidP="00000000" w:rsidRDefault="00000000" w:rsidRPr="00000000" w14:paraId="0000002D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Esempi: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Dirigenti scolastici: implementare politiche tecnologiche inclusive e sostegno per gli studenti svantaggiati.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Insegnanti: utilizzare risorse educative aperte (OER) per ridurre i costi e aumentare l'accesso.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Genitori: sostenere i bambini nell'utilizzo delle biblioteche pubbliche o dei centri comunitari per l'accesso a Internet.</w:t>
      </w:r>
    </w:p>
    <w:p w:rsidR="00000000" w:rsidDel="00000000" w:rsidP="00000000" w:rsidRDefault="00000000" w:rsidRPr="00000000" w14:paraId="00000031">
      <w:pPr>
        <w:pStyle w:val="Heading3"/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Integrazione tra i sistemi educativi</w:t>
      </w:r>
    </w:p>
    <w:p w:rsidR="00000000" w:rsidDel="00000000" w:rsidP="00000000" w:rsidRDefault="00000000" w:rsidRPr="00000000" w14:paraId="00000032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L'alfabetizzazione mediatica e informatica dovrebbe essere integrata in tutte le materie e in tutti i livelli di istruzione.</w:t>
      </w:r>
    </w:p>
    <w:p w:rsidR="00000000" w:rsidDel="00000000" w:rsidP="00000000" w:rsidRDefault="00000000" w:rsidRPr="00000000" w14:paraId="00000033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Esempi: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Dirigenti scolastici: </w:t>
      </w: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includere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l'alfabetizzazione mediatica e informativa nel piano strategico della scuola e nella formazione degli insegnanti.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Insegnanti: Incorpora</w:t>
      </w: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r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 l'analisi dei media in materie come storia, scienze o lingua e letteratura.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Genitori: rafforzare l'apprendimento scolastico discutendo a casa degli eventi attuali e dei media.</w:t>
      </w:r>
    </w:p>
    <w:p w:rsidR="00000000" w:rsidDel="00000000" w:rsidP="00000000" w:rsidRDefault="00000000" w:rsidRPr="00000000" w14:paraId="00000037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jc w:val="both"/>
        <w:rPr>
          <w:rFonts w:ascii="Cambria" w:cs="Cambria" w:eastAsia="Cambria" w:hAnsi="Cambria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Style w:val="Heading2"/>
        <w:jc w:val="both"/>
        <w:rPr>
          <w:rFonts w:ascii="Cambria" w:cs="Cambria" w:eastAsia="Cambria" w:hAnsi="Cambria"/>
          <w:sz w:val="40"/>
          <w:szCs w:val="40"/>
        </w:rPr>
      </w:pPr>
      <w:r w:rsidDel="00000000" w:rsidR="00000000" w:rsidRPr="00000000">
        <w:rPr>
          <w:rFonts w:ascii="Cambria" w:cs="Cambria" w:eastAsia="Cambria" w:hAnsi="Cambria"/>
          <w:sz w:val="40"/>
          <w:szCs w:val="40"/>
          <w:rtl w:val="0"/>
        </w:rPr>
        <w:t xml:space="preserve">Quadro ACRL per l'alfabetizzazione informativa</w:t>
      </w:r>
    </w:p>
    <w:p w:rsidR="00000000" w:rsidDel="00000000" w:rsidP="00000000" w:rsidRDefault="00000000" w:rsidRPr="00000000" w14:paraId="0000003C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Il quadro ACRL, sviluppato per l'istruzione superiore, delinea sei concetti fondamentali noti come "quadri":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L'autorità è costruita e contestuale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 creazione di informazioni come processo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L'informazione ha valore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 ricerca come indagine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 borsa di studio come conversazione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 ricerca come esplorazione strategica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Style w:val="Heading3"/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L'autorità è costruita e contestuale</w:t>
      </w:r>
    </w:p>
    <w:p w:rsidR="00000000" w:rsidDel="00000000" w:rsidP="00000000" w:rsidRDefault="00000000" w:rsidRPr="00000000" w14:paraId="00000046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La credibilità dipende dal contesto; la competenza non è assoluta.</w:t>
      </w:r>
    </w:p>
    <w:p w:rsidR="00000000" w:rsidDel="00000000" w:rsidP="00000000" w:rsidRDefault="00000000" w:rsidRPr="00000000" w14:paraId="00000047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Esempi: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Insegnanti: aiuta</w:t>
      </w: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r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 gli studenti a capire perché uno scienziato è una fonte più attendibile di una celebrità in materia di cambiamenti climatici.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Genitori: incoraggia</w:t>
      </w: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r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 i bambini a chiedere: "Chi l'ha detto e perché dovrei fidarmi di lui?".</w:t>
      </w:r>
    </w:p>
    <w:p w:rsidR="00000000" w:rsidDel="00000000" w:rsidP="00000000" w:rsidRDefault="00000000" w:rsidRPr="00000000" w14:paraId="0000004A">
      <w:pPr>
        <w:pStyle w:val="Heading3"/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La creazione di informazioni come processo</w:t>
      </w:r>
    </w:p>
    <w:p w:rsidR="00000000" w:rsidDel="00000000" w:rsidP="00000000" w:rsidRDefault="00000000" w:rsidRPr="00000000" w14:paraId="0000004B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Le informazioni vengono prodotte in diversi formati (blog, articoli, video), ciascuno con il proprio scopo e la propria credibilità.</w:t>
      </w:r>
    </w:p>
    <w:p w:rsidR="00000000" w:rsidDel="00000000" w:rsidP="00000000" w:rsidRDefault="00000000" w:rsidRPr="00000000" w14:paraId="0000004C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Esempi: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Insegnanti: confrontare un articolo sottoposto a revisione paritaria con un video esplicativo su YouTube sullo stesso argomento.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Dirigenti scolastici: </w:t>
      </w: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sostenere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lo sviluppo professionale nella valutazione dei contenuti digitali.</w:t>
      </w:r>
    </w:p>
    <w:p w:rsidR="00000000" w:rsidDel="00000000" w:rsidP="00000000" w:rsidRDefault="00000000" w:rsidRPr="00000000" w14:paraId="0000004F">
      <w:pPr>
        <w:pStyle w:val="Heading3"/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Le informazioni hanno valore</w:t>
      </w:r>
    </w:p>
    <w:p w:rsidR="00000000" w:rsidDel="00000000" w:rsidP="00000000" w:rsidRDefault="00000000" w:rsidRPr="00000000" w14:paraId="00000050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Le informazioni sono proprietà intellettuale e hanno implicazioni legali, sociali ed economiche.</w:t>
      </w:r>
    </w:p>
    <w:p w:rsidR="00000000" w:rsidDel="00000000" w:rsidP="00000000" w:rsidRDefault="00000000" w:rsidRPr="00000000" w14:paraId="00000051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Esempi: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Insegnanti: insegna</w:t>
      </w: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r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 agli studenti a citare le fonti e a rispettare il copyright.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Genitori: da</w:t>
      </w: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r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 l'esempio condividendo i contenuti online in modo etico.</w:t>
      </w:r>
    </w:p>
    <w:p w:rsidR="00000000" w:rsidDel="00000000" w:rsidP="00000000" w:rsidRDefault="00000000" w:rsidRPr="00000000" w14:paraId="00000054">
      <w:pPr>
        <w:pStyle w:val="Heading3"/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La ricerca come indagine</w:t>
      </w:r>
    </w:p>
    <w:p w:rsidR="00000000" w:rsidDel="00000000" w:rsidP="00000000" w:rsidRDefault="00000000" w:rsidRPr="00000000" w14:paraId="00000055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La ricerca è un processo iterativo che consiste nel porre domande e cercare risposte.</w:t>
      </w:r>
    </w:p>
    <w:p w:rsidR="00000000" w:rsidDel="00000000" w:rsidP="00000000" w:rsidRDefault="00000000" w:rsidRPr="00000000" w14:paraId="00000056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Esempi: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Insegnanti: guida</w:t>
      </w: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r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 gli studenti nello sviluppo e nel perfezionamento delle domande di ricerca.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Dirigenti scolastici: </w:t>
      </w: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incoraggiare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l'apprendimento basato sull'indagine in tutto il programma di studi.</w:t>
      </w:r>
    </w:p>
    <w:p w:rsidR="00000000" w:rsidDel="00000000" w:rsidP="00000000" w:rsidRDefault="00000000" w:rsidRPr="00000000" w14:paraId="00000059">
      <w:pPr>
        <w:pStyle w:val="Heading3"/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La borsa di studio come conversazione</w:t>
      </w:r>
    </w:p>
    <w:p w:rsidR="00000000" w:rsidDel="00000000" w:rsidP="00000000" w:rsidRDefault="00000000" w:rsidRPr="00000000" w14:paraId="0000005A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La conoscenza si costruisce attraverso il dialogo tra studiosi e comunità.</w:t>
      </w:r>
    </w:p>
    <w:p w:rsidR="00000000" w:rsidDel="00000000" w:rsidP="00000000" w:rsidRDefault="00000000" w:rsidRPr="00000000" w14:paraId="0000005B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Esempi: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Insegnanti: mostra</w:t>
      </w: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r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 come i dibattiti accademici si evolvono nel tempo.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Genitori: incoraggia</w:t>
      </w: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r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 a casa discussioni rispettose su punti di vista diversi.</w:t>
      </w:r>
    </w:p>
    <w:p w:rsidR="00000000" w:rsidDel="00000000" w:rsidP="00000000" w:rsidRDefault="00000000" w:rsidRPr="00000000" w14:paraId="0000005E">
      <w:pPr>
        <w:pStyle w:val="Heading3"/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La ricerca come esplorazione strategica</w:t>
      </w:r>
    </w:p>
    <w:p w:rsidR="00000000" w:rsidDel="00000000" w:rsidP="00000000" w:rsidRDefault="00000000" w:rsidRPr="00000000" w14:paraId="0000005F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Una ricerca efficace implica la pianificazione, la valutazione e il perfezionamento delle strategie.</w:t>
      </w:r>
    </w:p>
    <w:p w:rsidR="00000000" w:rsidDel="00000000" w:rsidP="00000000" w:rsidRDefault="00000000" w:rsidRPr="00000000" w14:paraId="00000060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Esempi: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Insegnanti: insegna</w:t>
      </w: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r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 le tecniche di ricerca booleana e l'uso dei database.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Genitori: aiuta</w:t>
      </w: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r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 i bambini a utilizzare i motori di ricerca in modo intelligente ed evitare fonti inaffidabili.</w:t>
      </w:r>
    </w:p>
    <w:p w:rsidR="00000000" w:rsidDel="00000000" w:rsidP="00000000" w:rsidRDefault="00000000" w:rsidRPr="00000000" w14:paraId="00000063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Questi schemi incoraggiano gli studenti a valutare le informazioni in modo critico, a comprenderne la produzione e il valore e a partecipare al dibattito accademico. Ad esempio, gli insegnanti possono utilizzare il concetto di "L'autorità è costruita e contestuale" per aiutare gli studenti a valutare le fonti in base al contesto. I dirigenti scolastici potrebbero applicare il concetto di "L'informazione ha valore" nello sviluppo di politiche sull'integrità accademica. I genitori possono sostenere il concetto di "La ricerca come esplorazione strategica" guidando i figli nell'uso efficace dei motori di ricerca.</w:t>
      </w:r>
    </w:p>
    <w:p w:rsidR="00000000" w:rsidDel="00000000" w:rsidP="00000000" w:rsidRDefault="00000000" w:rsidRPr="00000000" w14:paraId="00000064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Style w:val="Heading2"/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Conclusione</w:t>
      </w:r>
    </w:p>
    <w:p w:rsidR="00000000" w:rsidDel="00000000" w:rsidP="00000000" w:rsidRDefault="00000000" w:rsidRPr="00000000" w14:paraId="00000066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Sia il quadro dell'UNESCO che quello dell'ACRL forniscono una guida essenziale per coltivare l'alfabetizzazione informativa. Mentre l'UNESCO si concentra sull'accesso globale e sull'impegno civico, l'ACRL pone l'accento sulla ricerca accademica e sul pensiero critico. Insieme, aiutano gli studenti a diventare utenti informati, etici e consapevoli delle informazioni in contesti diversi.</w:t>
      </w:r>
    </w:p>
    <w:p w:rsidR="00000000" w:rsidDel="00000000" w:rsidP="00000000" w:rsidRDefault="00000000" w:rsidRPr="00000000" w14:paraId="00000067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rFonts w:ascii="Cambria" w:cs="Cambria" w:eastAsia="Cambria" w:hAnsi="Cambria"/>
          <w:color w:val="3e762a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Style w:val="Heading2"/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Riferimenti</w:t>
      </w:r>
    </w:p>
    <w:p w:rsidR="00000000" w:rsidDel="00000000" w:rsidP="00000000" w:rsidRDefault="00000000" w:rsidRPr="00000000" w14:paraId="0000006A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jc w:val="both"/>
        <w:rPr>
          <w:rFonts w:ascii="Cambria" w:cs="Cambria" w:eastAsia="Cambria" w:hAnsi="Cambria"/>
          <w:sz w:val="22"/>
          <w:szCs w:val="22"/>
        </w:rPr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Alcolea-Díaz, G., Reig, R., &amp; Mancinas-Chávez, R. (2020). Il programma di alfabetizzazione mediatica e informativa dell'UNESCO per insegnanti dal punto di vista delle considerazioni strutturali dell'informazione. </w:t>
      </w:r>
      <w:r w:rsidDel="00000000" w:rsidR="00000000" w:rsidRPr="00000000">
        <w:rPr>
          <w:rFonts w:ascii="Cambria" w:cs="Cambria" w:eastAsia="Cambria" w:hAnsi="Cambria"/>
          <w:i w:val="1"/>
          <w:iCs w:val="1"/>
          <w:sz w:val="22"/>
          <w:szCs w:val="22"/>
          <w:rtl w:val="0"/>
        </w:rPr>
        <w:t xml:space="preserve">Comunicar: Media Education Research Journal</w:t>
      </w: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,</w:t>
      </w:r>
      <w:r w:rsidDel="00000000" w:rsidR="00000000" w:rsidRPr="00000000">
        <w:rPr>
          <w:rFonts w:ascii="Cambria" w:cs="Cambria" w:eastAsia="Cambria" w:hAnsi="Cambria"/>
          <w:i w:val="1"/>
          <w:iCs w:val="1"/>
          <w:sz w:val="22"/>
          <w:szCs w:val="22"/>
          <w:rtl w:val="0"/>
        </w:rPr>
        <w:t xml:space="preserve"> 28</w:t>
      </w: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(62), 99-109.</w:t>
      </w:r>
    </w:p>
    <w:p w:rsidR="00000000" w:rsidDel="00000000" w:rsidP="00000000" w:rsidRDefault="00000000" w:rsidRPr="00000000" w14:paraId="0000006C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Associazione delle biblioteche universitarie e di ricerca. (2016). Quadro di riferimento per l'alfabetizzazione informativa nell'istruzione superiore. Associazione bibliotecaria americana.</w:t>
      </w:r>
      <w:hyperlink r:id="rId9">
        <w:r w:rsidDel="00000000" w:rsidR="00000000" w:rsidRPr="00000000">
          <w:rPr>
            <w:rFonts w:ascii="Cambria" w:cs="Cambria" w:eastAsia="Cambria" w:hAnsi="Cambria"/>
            <w:color w:val="6b9f25"/>
            <w:u w:val="single"/>
            <w:rtl w:val="0"/>
          </w:rPr>
          <w:t xml:space="preserve"> https://www.ala.org/acrl/standards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Style w:val="Heading2"/>
        <w:rPr>
          <w:color w:val="3e762a"/>
          <w:sz w:val="32"/>
          <w:szCs w:val="32"/>
        </w:rPr>
      </w:pPr>
      <w:r w:rsidDel="00000000" w:rsidR="00000000" w:rsidRPr="00000000">
        <w:rPr>
          <w:rtl w:val="0"/>
        </w:rPr>
      </w:r>
    </w:p>
    <w:sectPr>
      <w:headerReference r:id="rId10" w:type="default"/>
      <w:headerReference r:id="rId11" w:type="even"/>
      <w:footerReference r:id="rId12" w:type="default"/>
      <w:footerReference r:id="rId13" w:type="first"/>
      <w:footerReference r:id="rId14" w:type="even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Cambria"/>
  <w:font w:name="Arial"/>
  <w:font w:name="Times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right"/>
      <w:rPr>
        <w:rFonts w:ascii="Calibri" w:cs="Calibri" w:eastAsia="Calibri" w:hAnsi="Calibri"/>
        <w:color w:val="000000"/>
      </w:rPr>
    </w:pPr>
    <w:r w:rsidDel="00000000" w:rsidR="00000000" w:rsidRPr="00000000">
      <w:rPr>
        <w:rFonts w:ascii="Calibri" w:cs="Calibri" w:eastAsia="Calibri" w:hAnsi="Calibri"/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ind w:right="360"/>
      <w:rPr>
        <w:rFonts w:ascii="Calibri" w:cs="Calibri" w:eastAsia="Calibri" w:hAnsi="Calibri"/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right"/>
      <w:rPr>
        <w:rFonts w:ascii="Calibri" w:cs="Calibri" w:eastAsia="Calibri" w:hAnsi="Calibri"/>
        <w:color w:val="000000"/>
      </w:rPr>
    </w:pPr>
    <w:r w:rsidDel="00000000" w:rsidR="00000000" w:rsidRPr="00000000">
      <w:rPr>
        <w:rFonts w:ascii="Calibri" w:cs="Calibri" w:eastAsia="Calibri" w:hAnsi="Calibri"/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ind w:right="360"/>
      <w:rPr>
        <w:rFonts w:ascii="Arial" w:cs="Arial" w:eastAsia="Arial" w:hAnsi="Arial"/>
        <w:color w:val="404040"/>
        <w:sz w:val="11"/>
        <w:szCs w:val="11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right"/>
      <w:rPr>
        <w:rFonts w:ascii="Calibri" w:cs="Calibri" w:eastAsia="Calibri" w:hAnsi="Calibri"/>
        <w:color w:val="000000"/>
      </w:rPr>
    </w:pPr>
    <w:r w:rsidDel="00000000" w:rsidR="00000000" w:rsidRPr="00000000">
      <w:rPr>
        <w:rFonts w:ascii="Calibri" w:cs="Calibri" w:eastAsia="Calibri" w:hAnsi="Calibri"/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ind w:right="360"/>
      <w:rPr>
        <w:rFonts w:ascii="Calibri" w:cs="Calibri" w:eastAsia="Calibri" w:hAnsi="Calibri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center"/>
      <w:rPr>
        <w:rFonts w:ascii="Calibri" w:cs="Calibri" w:eastAsia="Calibri" w:hAnsi="Calibri"/>
        <w:color w:val="000000"/>
      </w:rPr>
    </w:pPr>
    <w:r w:rsidDel="00000000" w:rsidR="00000000" w:rsidRPr="00000000">
      <w:rPr>
        <w:rFonts w:ascii="Calibri" w:cs="Calibri" w:eastAsia="Calibri" w:hAnsi="Calibri"/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right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ind w:right="360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ind w:left="720" w:firstLine="0"/>
      <w:jc w:val="right"/>
      <w:rPr>
        <w:rFonts w:ascii="Times" w:cs="Times" w:eastAsia="Times" w:hAnsi="Times"/>
      </w:rPr>
    </w:pPr>
    <w:r w:rsidDel="00000000" w:rsidR="00000000" w:rsidRPr="00000000">
      <w:rPr>
        <w:rFonts w:ascii="Helvetica Neue" w:cs="Helvetica Neue" w:eastAsia="Helvetica Neue" w:hAnsi="Helvetica Neue"/>
        <w:color w:val="032b6f"/>
        <w:rtl w:val="0"/>
      </w:rPr>
      <w:t xml:space="preserve">                                                           </w:t>
    </w:r>
    <w:r w:rsidDel="00000000" w:rsidR="00000000" w:rsidRPr="00000000">
      <w:rPr/>
      <w:drawing>
        <wp:inline distB="0" distT="0" distL="0" distR="0">
          <wp:extent cx="1471613" cy="583570"/>
          <wp:effectExtent b="0" l="0" r="0" t="0"/>
          <wp:docPr descr="A blue and white logo&#10;&#10;Description automatically generated" id="2077838575" name="image3.jpg"/>
          <a:graphic>
            <a:graphicData uri="http://schemas.openxmlformats.org/drawingml/2006/picture">
              <pic:pic>
                <pic:nvPicPr>
                  <pic:cNvPr descr="A blue and white logo&#10;&#10;Description automatically generated"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71613" cy="58357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4">
    <w:pPr>
      <w:jc w:val="both"/>
      <w:rPr>
        <w:rFonts w:ascii="Times" w:cs="Times" w:eastAsia="Times" w:hAnsi="Times"/>
      </w:rPr>
    </w:pPr>
    <w:r w:rsidDel="00000000" w:rsidR="00000000" w:rsidRPr="00000000">
      <w:rPr>
        <w:color w:val="000000"/>
        <w:sz w:val="28"/>
        <w:szCs w:val="28"/>
        <w:rtl w:val="0"/>
      </w:rPr>
      <w:t xml:space="preserve">                                                                               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n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240" w:lineRule="auto"/>
    </w:pPr>
    <w:rPr>
      <w:rFonts w:ascii="Calibri" w:cs="Calibri" w:eastAsia="Calibri" w:hAnsi="Calibri"/>
      <w:color w:val="3e762a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color w:val="3e762a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color w:val="294e1c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i w:val="1"/>
      <w:iCs w:val="1"/>
      <w:color w:val="3e762a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rFonts w:ascii="Calibri" w:cs="Calibri" w:eastAsia="Calibri" w:hAnsi="Calibri"/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rFonts w:ascii="Calibri" w:cs="Calibri" w:eastAsia="Calibri" w:hAnsi="Calibri"/>
      <w:b w:val="1"/>
      <w:bCs w:val="1"/>
      <w:sz w:val="20"/>
      <w:szCs w:val="20"/>
    </w:rPr>
  </w:style>
  <w:style w:type="paragraph" w:styleId="Title">
    <w:name w:val="Title"/>
    <w:basedOn w:val="Normal"/>
    <w:next w:val="Normal"/>
    <w:pPr/>
    <w:rPr>
      <w:rFonts w:ascii="Calibri" w:cs="Calibri" w:eastAsia="Calibri" w:hAnsi="Calibri"/>
      <w:sz w:val="56"/>
      <w:szCs w:val="5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Normal1" w:customStyle="1">
    <w:name w:val="Table Normal1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TitleChar" w:customStyle="1">
    <w:name w:val="Title Char"/>
    <w:basedOn w:val="DefaultParagraphFont"/>
    <w:link w:val="Title"/>
    <w:uiPriority w:val="10"/>
    <w:rsid w:val="005C3DB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Heading1Char" w:customStyle="1">
    <w:name w:val="Heading 1 Char"/>
    <w:basedOn w:val="DefaultParagraphFont"/>
    <w:link w:val="Heading1"/>
    <w:uiPriority w:val="9"/>
    <w:rsid w:val="005C3DB9"/>
    <w:rPr>
      <w:rFonts w:asciiTheme="majorHAnsi" w:cstheme="majorBidi" w:eastAsiaTheme="majorEastAsia" w:hAnsiTheme="majorHAnsi"/>
      <w:color w:val="3e762a" w:themeColor="accent1" w:themeShade="0000BF"/>
      <w:sz w:val="32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rsid w:val="005C3DB9"/>
    <w:rPr>
      <w:rFonts w:asciiTheme="majorHAnsi" w:cstheme="majorBidi" w:eastAsiaTheme="majorEastAsia" w:hAnsiTheme="majorHAnsi"/>
      <w:color w:val="3e762a" w:themeColor="accent1" w:themeShade="0000BF"/>
      <w:sz w:val="26"/>
      <w:szCs w:val="26"/>
    </w:rPr>
  </w:style>
  <w:style w:type="paragraph" w:styleId="NormalWeb">
    <w:name w:val="Normal (Web)"/>
    <w:basedOn w:val="Normal"/>
    <w:uiPriority w:val="99"/>
    <w:unhideWhenUsed w:val="1"/>
    <w:rsid w:val="005C3DB9"/>
    <w:pPr>
      <w:spacing w:after="100" w:afterAutospacing="1" w:before="100" w:beforeAutospacing="1"/>
    </w:pPr>
    <w:rPr>
      <w:rFonts w:ascii="Calibri" w:hAnsi="Calibri" w:cstheme="minorHAnsi"/>
      <w:lang w:val="en-GB"/>
    </w:rPr>
  </w:style>
  <w:style w:type="paragraph" w:styleId="paragraph" w:customStyle="1">
    <w:name w:val="paragraph"/>
    <w:basedOn w:val="Normal"/>
    <w:rsid w:val="005C3DB9"/>
    <w:pPr>
      <w:spacing w:after="100" w:afterAutospacing="1" w:before="100" w:beforeAutospacing="1"/>
    </w:pPr>
    <w:rPr>
      <w:rFonts w:ascii="Calibri" w:hAnsi="Calibri" w:cstheme="minorHAnsi"/>
      <w:lang w:val="en-GB"/>
    </w:rPr>
  </w:style>
  <w:style w:type="character" w:styleId="normaltextrun" w:customStyle="1">
    <w:name w:val="normaltextrun"/>
    <w:basedOn w:val="DefaultParagraphFont"/>
    <w:rsid w:val="005C3DB9"/>
  </w:style>
  <w:style w:type="character" w:styleId="eop" w:customStyle="1">
    <w:name w:val="eop"/>
    <w:basedOn w:val="DefaultParagraphFont"/>
    <w:rsid w:val="005C3DB9"/>
  </w:style>
  <w:style w:type="paragraph" w:styleId="ListParagraph">
    <w:name w:val="List Paragraph"/>
    <w:basedOn w:val="Normal"/>
    <w:uiPriority w:val="34"/>
    <w:qFormat w:val="1"/>
    <w:rsid w:val="0093425E"/>
    <w:pPr>
      <w:ind w:left="720"/>
      <w:contextualSpacing w:val="1"/>
    </w:pPr>
    <w:rPr>
      <w:rFonts w:ascii="Calibri" w:hAnsi="Calibri" w:cstheme="minorBidi" w:eastAsiaTheme="minorHAnsi"/>
      <w:kern w:val="2"/>
      <w:lang w:val="en-GB"/>
    </w:rPr>
  </w:style>
  <w:style w:type="table" w:styleId="TableGrid">
    <w:name w:val="Table Grid"/>
    <w:basedOn w:val="TableNormal"/>
    <w:uiPriority w:val="39"/>
    <w:rsid w:val="0093425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D839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 w:val="1"/>
    <w:rsid w:val="00D8397E"/>
    <w:rPr>
      <w:rFonts w:ascii="Calibri" w:hAnsi="Calibri" w:cstheme="minorBidi" w:eastAsiaTheme="minorHAnsi"/>
      <w:kern w:val="2"/>
      <w:sz w:val="20"/>
      <w:szCs w:val="20"/>
      <w:lang w:val="en-GB"/>
    </w:rPr>
  </w:style>
  <w:style w:type="character" w:styleId="CommentTextChar" w:customStyle="1">
    <w:name w:val="Comment Text Char"/>
    <w:basedOn w:val="DefaultParagraphFont"/>
    <w:link w:val="CommentText"/>
    <w:uiPriority w:val="99"/>
    <w:rsid w:val="00D8397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D8397E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D8397E"/>
    <w:rPr>
      <w:b w:val="1"/>
      <w:bCs w:val="1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 w:val="1"/>
    <w:qFormat w:val="1"/>
    <w:rsid w:val="00FF1E38"/>
    <w:pPr>
      <w:spacing w:before="480" w:line="276" w:lineRule="auto"/>
      <w:outlineLvl w:val="9"/>
    </w:pPr>
    <w:rPr>
      <w:b w:val="1"/>
      <w:bCs w:val="1"/>
      <w:kern w:val="0"/>
      <w:sz w:val="28"/>
      <w:szCs w:val="28"/>
    </w:rPr>
  </w:style>
  <w:style w:type="paragraph" w:styleId="TOC1">
    <w:name w:val="toc 1"/>
    <w:basedOn w:val="Normal"/>
    <w:next w:val="Normal"/>
    <w:autoRedefine w:val="1"/>
    <w:uiPriority w:val="39"/>
    <w:unhideWhenUsed w:val="1"/>
    <w:rsid w:val="00FF1E38"/>
    <w:pPr>
      <w:spacing w:before="120"/>
    </w:pPr>
    <w:rPr>
      <w:rFonts w:ascii="Calibri" w:hAnsi="Calibri" w:cstheme="minorHAnsi"/>
      <w:b w:val="1"/>
      <w:bCs w:val="1"/>
      <w:i w:val="1"/>
      <w:iCs w:val="1"/>
      <w:lang w:val="en-GB"/>
    </w:rPr>
  </w:style>
  <w:style w:type="paragraph" w:styleId="TOC2">
    <w:name w:val="toc 2"/>
    <w:basedOn w:val="Normal"/>
    <w:next w:val="Normal"/>
    <w:autoRedefine w:val="1"/>
    <w:uiPriority w:val="39"/>
    <w:unhideWhenUsed w:val="1"/>
    <w:rsid w:val="00FF1E38"/>
    <w:pPr>
      <w:spacing w:before="120"/>
      <w:ind w:left="240"/>
    </w:pPr>
    <w:rPr>
      <w:rFonts w:ascii="Calibri" w:hAnsi="Calibri" w:cstheme="minorHAnsi"/>
      <w:b w:val="1"/>
      <w:bCs w:val="1"/>
      <w:sz w:val="22"/>
      <w:szCs w:val="22"/>
      <w:lang w:val="en-GB"/>
    </w:rPr>
  </w:style>
  <w:style w:type="character" w:styleId="Hyperlink">
    <w:name w:val="Hyperlink"/>
    <w:basedOn w:val="DefaultParagraphFont"/>
    <w:uiPriority w:val="99"/>
    <w:unhideWhenUsed w:val="1"/>
    <w:rsid w:val="00FF1E38"/>
    <w:rPr>
      <w:color w:val="6b9f25" w:themeColor="hyperlink"/>
      <w:u w:val="single"/>
    </w:rPr>
  </w:style>
  <w:style w:type="paragraph" w:styleId="TOC3">
    <w:name w:val="toc 3"/>
    <w:basedOn w:val="Normal"/>
    <w:next w:val="Normal"/>
    <w:autoRedefine w:val="1"/>
    <w:uiPriority w:val="39"/>
    <w:unhideWhenUsed w:val="1"/>
    <w:rsid w:val="00FF1E38"/>
    <w:pPr>
      <w:ind w:left="480"/>
    </w:pPr>
    <w:rPr>
      <w:rFonts w:ascii="Calibri" w:hAnsi="Calibri" w:cstheme="minorHAnsi"/>
      <w:sz w:val="20"/>
      <w:szCs w:val="20"/>
      <w:lang w:val="en-GB"/>
    </w:rPr>
  </w:style>
  <w:style w:type="paragraph" w:styleId="TOC4">
    <w:name w:val="toc 4"/>
    <w:basedOn w:val="Normal"/>
    <w:next w:val="Normal"/>
    <w:autoRedefine w:val="1"/>
    <w:uiPriority w:val="39"/>
    <w:semiHidden w:val="1"/>
    <w:unhideWhenUsed w:val="1"/>
    <w:rsid w:val="00FF1E38"/>
    <w:pPr>
      <w:ind w:left="720"/>
    </w:pPr>
    <w:rPr>
      <w:rFonts w:ascii="Calibri" w:hAnsi="Calibri" w:cstheme="minorHAnsi"/>
      <w:sz w:val="20"/>
      <w:szCs w:val="20"/>
      <w:lang w:val="en-GB"/>
    </w:rPr>
  </w:style>
  <w:style w:type="paragraph" w:styleId="TOC5">
    <w:name w:val="toc 5"/>
    <w:basedOn w:val="Normal"/>
    <w:next w:val="Normal"/>
    <w:autoRedefine w:val="1"/>
    <w:uiPriority w:val="39"/>
    <w:semiHidden w:val="1"/>
    <w:unhideWhenUsed w:val="1"/>
    <w:rsid w:val="00FF1E38"/>
    <w:pPr>
      <w:ind w:left="960"/>
    </w:pPr>
    <w:rPr>
      <w:rFonts w:ascii="Calibri" w:hAnsi="Calibri" w:cstheme="minorHAnsi"/>
      <w:sz w:val="20"/>
      <w:szCs w:val="20"/>
      <w:lang w:val="en-GB"/>
    </w:rPr>
  </w:style>
  <w:style w:type="paragraph" w:styleId="TOC6">
    <w:name w:val="toc 6"/>
    <w:basedOn w:val="Normal"/>
    <w:next w:val="Normal"/>
    <w:autoRedefine w:val="1"/>
    <w:uiPriority w:val="39"/>
    <w:semiHidden w:val="1"/>
    <w:unhideWhenUsed w:val="1"/>
    <w:rsid w:val="00FF1E38"/>
    <w:pPr>
      <w:ind w:left="1200"/>
    </w:pPr>
    <w:rPr>
      <w:rFonts w:ascii="Calibri" w:hAnsi="Calibri" w:cstheme="minorHAnsi"/>
      <w:sz w:val="20"/>
      <w:szCs w:val="20"/>
      <w:lang w:val="en-GB"/>
    </w:rPr>
  </w:style>
  <w:style w:type="paragraph" w:styleId="TOC7">
    <w:name w:val="toc 7"/>
    <w:basedOn w:val="Normal"/>
    <w:next w:val="Normal"/>
    <w:autoRedefine w:val="1"/>
    <w:uiPriority w:val="39"/>
    <w:semiHidden w:val="1"/>
    <w:unhideWhenUsed w:val="1"/>
    <w:rsid w:val="00FF1E38"/>
    <w:pPr>
      <w:ind w:left="1440"/>
    </w:pPr>
    <w:rPr>
      <w:rFonts w:ascii="Calibri" w:hAnsi="Calibri" w:cstheme="minorHAnsi"/>
      <w:sz w:val="20"/>
      <w:szCs w:val="20"/>
      <w:lang w:val="en-GB"/>
    </w:rPr>
  </w:style>
  <w:style w:type="paragraph" w:styleId="TOC8">
    <w:name w:val="toc 8"/>
    <w:basedOn w:val="Normal"/>
    <w:next w:val="Normal"/>
    <w:autoRedefine w:val="1"/>
    <w:uiPriority w:val="39"/>
    <w:semiHidden w:val="1"/>
    <w:unhideWhenUsed w:val="1"/>
    <w:rsid w:val="00FF1E38"/>
    <w:pPr>
      <w:ind w:left="1680"/>
    </w:pPr>
    <w:rPr>
      <w:rFonts w:ascii="Calibri" w:hAnsi="Calibri" w:cstheme="minorHAnsi"/>
      <w:sz w:val="20"/>
      <w:szCs w:val="20"/>
      <w:lang w:val="en-GB"/>
    </w:rPr>
  </w:style>
  <w:style w:type="paragraph" w:styleId="TOC9">
    <w:name w:val="toc 9"/>
    <w:basedOn w:val="Normal"/>
    <w:next w:val="Normal"/>
    <w:autoRedefine w:val="1"/>
    <w:uiPriority w:val="39"/>
    <w:semiHidden w:val="1"/>
    <w:unhideWhenUsed w:val="1"/>
    <w:rsid w:val="00FF1E38"/>
    <w:pPr>
      <w:ind w:left="1920"/>
    </w:pPr>
    <w:rPr>
      <w:rFonts w:ascii="Calibri" w:hAnsi="Calibri" w:cstheme="minorHAnsi"/>
      <w:sz w:val="20"/>
      <w:szCs w:val="20"/>
      <w:lang w:val="en-GB"/>
    </w:rPr>
  </w:style>
  <w:style w:type="character" w:styleId="UnresolvedMention" w:customStyle="1">
    <w:name w:val="Unresolved Mention"/>
    <w:basedOn w:val="DefaultParagraphFont"/>
    <w:uiPriority w:val="99"/>
    <w:semiHidden w:val="1"/>
    <w:unhideWhenUsed w:val="1"/>
    <w:rsid w:val="006B0EAF"/>
    <w:rPr>
      <w:color w:val="605e5c"/>
      <w:shd w:color="auto" w:fill="e1dfdd" w:val="clear"/>
    </w:rPr>
  </w:style>
  <w:style w:type="character" w:styleId="FollowedHyperlink">
    <w:name w:val="FollowedHyperlink"/>
    <w:basedOn w:val="DefaultParagraphFont"/>
    <w:uiPriority w:val="99"/>
    <w:semiHidden w:val="1"/>
    <w:unhideWhenUsed w:val="1"/>
    <w:rsid w:val="006B0EAF"/>
    <w:rPr>
      <w:color w:val="ba6906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 w:val="1"/>
    <w:rsid w:val="006F4770"/>
    <w:pPr>
      <w:tabs>
        <w:tab w:val="center" w:pos="4536"/>
        <w:tab w:val="right" w:pos="9072"/>
      </w:tabs>
    </w:pPr>
    <w:rPr>
      <w:rFonts w:ascii="Calibri" w:hAnsi="Calibri" w:cstheme="minorHAnsi"/>
      <w:lang w:val="en-GB"/>
    </w:rPr>
  </w:style>
  <w:style w:type="character" w:styleId="HeaderChar" w:customStyle="1">
    <w:name w:val="Header Char"/>
    <w:basedOn w:val="DefaultParagraphFont"/>
    <w:link w:val="Header"/>
    <w:uiPriority w:val="99"/>
    <w:rsid w:val="006F4770"/>
    <w:rPr>
      <w:rFonts w:eastAsia="Times New Roman" w:cstheme="minorHAnsi"/>
      <w:kern w:val="0"/>
    </w:rPr>
  </w:style>
  <w:style w:type="paragraph" w:styleId="Footer">
    <w:name w:val="footer"/>
    <w:basedOn w:val="Normal"/>
    <w:link w:val="FooterChar"/>
    <w:uiPriority w:val="99"/>
    <w:unhideWhenUsed w:val="1"/>
    <w:rsid w:val="006F4770"/>
    <w:pPr>
      <w:tabs>
        <w:tab w:val="center" w:pos="4536"/>
        <w:tab w:val="right" w:pos="9072"/>
      </w:tabs>
    </w:pPr>
    <w:rPr>
      <w:rFonts w:ascii="Calibri" w:hAnsi="Calibri" w:cstheme="minorHAnsi"/>
      <w:lang w:val="en-GB"/>
    </w:rPr>
  </w:style>
  <w:style w:type="character" w:styleId="FooterChar" w:customStyle="1">
    <w:name w:val="Footer Char"/>
    <w:basedOn w:val="DefaultParagraphFont"/>
    <w:link w:val="Footer"/>
    <w:uiPriority w:val="99"/>
    <w:rsid w:val="006F4770"/>
    <w:rPr>
      <w:rFonts w:eastAsia="Times New Roman" w:cstheme="minorHAnsi"/>
      <w:kern w:val="0"/>
    </w:rPr>
  </w:style>
  <w:style w:type="character" w:styleId="PageNumber">
    <w:name w:val="page number"/>
    <w:basedOn w:val="DefaultParagraphFont"/>
    <w:uiPriority w:val="99"/>
    <w:semiHidden w:val="1"/>
    <w:unhideWhenUsed w:val="1"/>
    <w:rsid w:val="006F4770"/>
  </w:style>
  <w:style w:type="paragraph" w:styleId="Revision">
    <w:name w:val="Revision"/>
    <w:hidden w:val="1"/>
    <w:uiPriority w:val="99"/>
    <w:semiHidden w:val="1"/>
    <w:rsid w:val="007F2618"/>
    <w:rPr>
      <w:rFonts w:cstheme="minorHAnsi"/>
    </w:rPr>
  </w:style>
  <w:style w:type="table" w:styleId="GridTable1Light-Accent4">
    <w:name w:val="Grid Table 1 Light Accent 4"/>
    <w:basedOn w:val="TableNormal"/>
    <w:uiPriority w:val="46"/>
    <w:rsid w:val="00F031CA"/>
    <w:tblPr>
      <w:tblStyleRowBandSize w:val="1"/>
      <w:tblStyleColBandSize w:val="1"/>
      <w:tblBorders>
        <w:top w:color="71fdde" w:space="0" w:sz="4" w:themeColor="accent4" w:themeTint="000066" w:val="single"/>
        <w:left w:color="71fdde" w:space="0" w:sz="4" w:themeColor="accent4" w:themeTint="000066" w:val="single"/>
        <w:bottom w:color="71fdde" w:space="0" w:sz="4" w:themeColor="accent4" w:themeTint="000066" w:val="single"/>
        <w:right w:color="71fdde" w:space="0" w:sz="4" w:themeColor="accent4" w:themeTint="000066" w:val="single"/>
        <w:insideH w:color="71fdde" w:space="0" w:sz="4" w:themeColor="accent4" w:themeTint="000066" w:val="single"/>
        <w:insideV w:color="71fdde" w:space="0" w:sz="4" w:themeColor="accent4" w:themeTint="000066" w:val="single"/>
      </w:tblBorders>
    </w:tblPr>
    <w:tblStylePr w:type="firstRow">
      <w:rPr>
        <w:b w:val="1"/>
        <w:bCs w:val="1"/>
      </w:rPr>
      <w:tblPr/>
      <w:tcPr>
        <w:tcBorders>
          <w:bottom w:color="2afcce" w:space="0" w:sz="12" w:themeColor="accent4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2afcce" w:space="0" w:sz="2" w:themeColor="accent4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</w:style>
  <w:style w:type="table" w:styleId="GridTable2-Accent1">
    <w:name w:val="Grid Table 2 Accent 1"/>
    <w:basedOn w:val="TableNormal"/>
    <w:uiPriority w:val="47"/>
    <w:rsid w:val="00F031CA"/>
    <w:tblPr>
      <w:tblStyleRowBandSize w:val="1"/>
      <w:tblStyleColBandSize w:val="1"/>
      <w:tblBorders>
        <w:top w:color="93d07c" w:space="0" w:sz="2" w:themeColor="accent1" w:themeTint="000099" w:val="single"/>
        <w:bottom w:color="93d07c" w:space="0" w:sz="2" w:themeColor="accent1" w:themeTint="000099" w:val="single"/>
        <w:insideH w:color="93d07c" w:space="0" w:sz="2" w:themeColor="accent1" w:themeTint="000099" w:val="single"/>
        <w:insideV w:color="93d07c" w:space="0" w:sz="2" w:themeColor="accent1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bottom w:color="93d07c" w:space="0" w:sz="12" w:themeColor="accent1" w:themeTint="000099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top w:color="93d07c" w:space="0" w:sz="2" w:themeColor="accent1" w:themeTint="000099" w:val="double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fd3" w:themeFill="accent1" w:themeFillTint="000033" w:val="clear"/>
      </w:tcPr>
    </w:tblStylePr>
    <w:tblStylePr w:type="band1Horz">
      <w:tblPr/>
      <w:tcPr>
        <w:shd w:color="auto" w:fill="daefd3" w:themeFill="accent1" w:themeFillTint="000033" w:val="clear"/>
      </w:tcPr>
    </w:tblStylePr>
  </w:style>
  <w:style w:type="paragraph" w:styleId="Standaard1" w:customStyle="1">
    <w:name w:val="Standaard1"/>
    <w:basedOn w:val="Normal"/>
    <w:rsid w:val="00691D57"/>
    <w:pPr>
      <w:spacing w:after="100" w:afterAutospacing="1" w:before="100" w:beforeAutospacing="1"/>
    </w:pPr>
  </w:style>
  <w:style w:type="character" w:styleId="apple-converted-space" w:customStyle="1">
    <w:name w:val="apple-converted-space"/>
    <w:basedOn w:val="DefaultParagraphFont"/>
    <w:rsid w:val="00691D57"/>
  </w:style>
  <w:style w:type="character" w:styleId="Strong">
    <w:name w:val="Strong"/>
    <w:basedOn w:val="DefaultParagraphFont"/>
    <w:uiPriority w:val="22"/>
    <w:qFormat w:val="1"/>
    <w:rsid w:val="00691D57"/>
    <w:rPr>
      <w:b w:val="1"/>
      <w:bCs w:val="1"/>
    </w:r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rsid w:val="00691D57"/>
    <w:rPr>
      <w:rFonts w:ascii="Calibri" w:hAnsi="Calibri" w:cstheme="minorHAnsi"/>
      <w:sz w:val="20"/>
      <w:szCs w:val="20"/>
      <w:lang w:val="en-GB"/>
    </w:rPr>
  </w:style>
  <w:style w:type="character" w:styleId="FootnoteTextChar" w:customStyle="1">
    <w:name w:val="Footnote Text Char"/>
    <w:basedOn w:val="DefaultParagraphFont"/>
    <w:link w:val="FootnoteText"/>
    <w:uiPriority w:val="99"/>
    <w:semiHidden w:val="1"/>
    <w:rsid w:val="00691D57"/>
    <w:rPr>
      <w:rFonts w:eastAsia="Times New Roman" w:cstheme="minorHAnsi"/>
      <w:kern w:val="0"/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sid w:val="00691D57"/>
    <w:rPr>
      <w:vertAlign w:val="superscript"/>
    </w:rPr>
  </w:style>
  <w:style w:type="paragraph" w:styleId="Default" w:customStyle="1">
    <w:name w:val="Default"/>
    <w:rsid w:val="00691D57"/>
    <w:pPr>
      <w:autoSpaceDE w:val="0"/>
      <w:autoSpaceDN w:val="0"/>
      <w:adjustRightInd w:val="0"/>
    </w:pPr>
    <w:rPr>
      <w:rFonts w:ascii="Times" w:cs="Times" w:hAnsi="Times"/>
      <w:color w:val="000000"/>
      <w:lang w:val="nl-NL"/>
    </w:rPr>
  </w:style>
  <w:style w:type="paragraph" w:styleId="c-breadcrumbsitem" w:customStyle="1">
    <w:name w:val="c-breadcrumbs__item"/>
    <w:basedOn w:val="Normal"/>
    <w:rsid w:val="00691D57"/>
    <w:pPr>
      <w:spacing w:after="100" w:afterAutospacing="1" w:before="100" w:beforeAutospacing="1"/>
    </w:pPr>
  </w:style>
  <w:style w:type="paragraph" w:styleId="NoSpacing">
    <w:name w:val="No Spacing"/>
    <w:uiPriority w:val="1"/>
    <w:qFormat w:val="1"/>
    <w:rsid w:val="00F10178"/>
    <w:rPr>
      <w:sz w:val="22"/>
      <w:szCs w:val="22"/>
      <w:lang w:val="nl-NL"/>
    </w:rPr>
  </w:style>
  <w:style w:type="character" w:styleId="Heading3Char" w:customStyle="1">
    <w:name w:val="Heading 3 Char"/>
    <w:basedOn w:val="DefaultParagraphFont"/>
    <w:link w:val="Heading3"/>
    <w:uiPriority w:val="9"/>
    <w:rsid w:val="00C917E1"/>
    <w:rPr>
      <w:rFonts w:asciiTheme="majorHAnsi" w:cstheme="majorBidi" w:eastAsiaTheme="majorEastAsia" w:hAnsiTheme="majorHAnsi"/>
      <w:color w:val="294e1c" w:themeColor="accent1" w:themeShade="00007F"/>
      <w:kern w:val="0"/>
    </w:rPr>
  </w:style>
  <w:style w:type="paragraph" w:styleId="preflex" w:customStyle="1">
    <w:name w:val="preflex"/>
    <w:basedOn w:val="Normal"/>
    <w:rsid w:val="00B824A6"/>
    <w:pPr>
      <w:spacing w:after="100" w:afterAutospacing="1" w:before="100" w:beforeAutospacing="1"/>
    </w:pPr>
  </w:style>
  <w:style w:type="character" w:styleId="Emphasis">
    <w:name w:val="Emphasis"/>
    <w:basedOn w:val="DefaultParagraphFont"/>
    <w:uiPriority w:val="20"/>
    <w:qFormat w:val="1"/>
    <w:rsid w:val="00B824A6"/>
    <w:rPr>
      <w:i w:val="1"/>
      <w:iCs w:val="1"/>
    </w:rPr>
  </w:style>
  <w:style w:type="character" w:styleId="Heading4Char" w:customStyle="1">
    <w:name w:val="Heading 4 Char"/>
    <w:basedOn w:val="DefaultParagraphFont"/>
    <w:link w:val="Heading4"/>
    <w:uiPriority w:val="9"/>
    <w:rsid w:val="0087706B"/>
    <w:rPr>
      <w:rFonts w:asciiTheme="majorHAnsi" w:cstheme="majorBidi" w:eastAsiaTheme="majorEastAsia" w:hAnsiTheme="majorHAnsi"/>
      <w:i w:val="1"/>
      <w:iCs w:val="1"/>
      <w:color w:val="3e762a" w:themeColor="accent1" w:themeShade="0000BF"/>
      <w:kern w:val="0"/>
    </w:rPr>
  </w:style>
  <w:style w:type="table" w:styleId="12" w:customStyle="1">
    <w:name w:val="12"/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11" w:customStyle="1">
    <w:name w:val="11"/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  <w:tblStylePr w:type="firstRow">
      <w:rPr>
        <w:b w:val="1"/>
      </w:rPr>
      <w:tblPr/>
      <w:tcPr>
        <w:tcBorders>
          <w:top w:space="0" w:sz="0" w:val="nil"/>
          <w:bottom w:color="93d07c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3d07c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fd3" w:val="clear"/>
      </w:tcPr>
    </w:tblStylePr>
    <w:tblStylePr w:type="band1Horz">
      <w:tblPr/>
      <w:tcPr>
        <w:shd w:color="auto" w:fill="dbefd3" w:val="clear"/>
      </w:tcPr>
    </w:tblStylePr>
  </w:style>
  <w:style w:type="table" w:styleId="10" w:customStyle="1">
    <w:name w:val="10"/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  <w:tblStylePr w:type="firstRow">
      <w:rPr>
        <w:b w:val="1"/>
      </w:rPr>
      <w:tblPr/>
      <w:tcPr>
        <w:tcBorders>
          <w:top w:space="0" w:sz="0" w:val="nil"/>
          <w:bottom w:color="93d07c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3d07c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fd3" w:val="clear"/>
      </w:tcPr>
    </w:tblStylePr>
    <w:tblStylePr w:type="band1Horz">
      <w:tblPr/>
      <w:tcPr>
        <w:shd w:color="auto" w:fill="dbefd3" w:val="clear"/>
      </w:tcPr>
    </w:tblStylePr>
  </w:style>
  <w:style w:type="table" w:styleId="9" w:customStyle="1">
    <w:name w:val="9"/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  <w:tblStylePr w:type="firstRow">
      <w:rPr>
        <w:b w:val="1"/>
      </w:rPr>
      <w:tblPr/>
      <w:tcPr>
        <w:tcBorders>
          <w:top w:space="0" w:sz="0" w:val="nil"/>
          <w:bottom w:color="93d07c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3d07c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fd3" w:val="clear"/>
      </w:tcPr>
    </w:tblStylePr>
    <w:tblStylePr w:type="band1Horz">
      <w:tblPr/>
      <w:tcPr>
        <w:shd w:color="auto" w:fill="dbefd3" w:val="clear"/>
      </w:tcPr>
    </w:tblStylePr>
  </w:style>
  <w:style w:type="table" w:styleId="8" w:customStyle="1">
    <w:name w:val="8"/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  <w:tblStylePr w:type="firstRow">
      <w:rPr>
        <w:b w:val="1"/>
      </w:rPr>
      <w:tblPr/>
      <w:tcPr>
        <w:tcBorders>
          <w:top w:space="0" w:sz="0" w:val="nil"/>
          <w:bottom w:color="93d07c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3d07c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fd3" w:val="clear"/>
      </w:tcPr>
    </w:tblStylePr>
    <w:tblStylePr w:type="band1Horz">
      <w:tblPr/>
      <w:tcPr>
        <w:shd w:color="auto" w:fill="dbefd3" w:val="clear"/>
      </w:tcPr>
    </w:tblStylePr>
  </w:style>
  <w:style w:type="table" w:styleId="7" w:customStyle="1">
    <w:name w:val="7"/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  <w:tblStylePr w:type="firstRow">
      <w:rPr>
        <w:b w:val="1"/>
      </w:rPr>
      <w:tblPr/>
      <w:tcPr>
        <w:tcBorders>
          <w:top w:space="0" w:sz="0" w:val="nil"/>
          <w:bottom w:color="93d07c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3d07c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fd3" w:val="clear"/>
      </w:tcPr>
    </w:tblStylePr>
    <w:tblStylePr w:type="band1Horz">
      <w:tblPr/>
      <w:tcPr>
        <w:shd w:color="auto" w:fill="dbefd3" w:val="clear"/>
      </w:tcPr>
    </w:tblStylePr>
  </w:style>
  <w:style w:type="table" w:styleId="6" w:customStyle="1">
    <w:name w:val="6"/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  <w:tblStylePr w:type="firstRow">
      <w:rPr>
        <w:b w:val="1"/>
      </w:rPr>
      <w:tblPr/>
      <w:tcPr>
        <w:tcBorders>
          <w:top w:space="0" w:sz="0" w:val="nil"/>
          <w:bottom w:color="93d07c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3d07c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fd3" w:val="clear"/>
      </w:tcPr>
    </w:tblStylePr>
    <w:tblStylePr w:type="band1Horz">
      <w:tblPr/>
      <w:tcPr>
        <w:shd w:color="auto" w:fill="dbefd3" w:val="clear"/>
      </w:tcPr>
    </w:tblStylePr>
  </w:style>
  <w:style w:type="table" w:styleId="5" w:customStyle="1">
    <w:name w:val="5"/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  <w:tblStylePr w:type="firstRow">
      <w:rPr>
        <w:b w:val="1"/>
      </w:rPr>
      <w:tblPr/>
      <w:tcPr>
        <w:tcBorders>
          <w:top w:space="0" w:sz="0" w:val="nil"/>
          <w:bottom w:color="93d07c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3d07c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fd3" w:val="clear"/>
      </w:tcPr>
    </w:tblStylePr>
    <w:tblStylePr w:type="band1Horz">
      <w:tblPr/>
      <w:tcPr>
        <w:shd w:color="auto" w:fill="dbefd3" w:val="clear"/>
      </w:tcPr>
    </w:tblStylePr>
  </w:style>
  <w:style w:type="table" w:styleId="4" w:customStyle="1">
    <w:name w:val="4"/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  <w:tblStylePr w:type="firstRow">
      <w:rPr>
        <w:b w:val="1"/>
      </w:rPr>
      <w:tblPr/>
      <w:tcPr>
        <w:tcBorders>
          <w:top w:space="0" w:sz="0" w:val="nil"/>
          <w:bottom w:color="93d07c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3d07c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fd3" w:val="clear"/>
      </w:tcPr>
    </w:tblStylePr>
    <w:tblStylePr w:type="band1Horz">
      <w:tblPr/>
      <w:tcPr>
        <w:shd w:color="auto" w:fill="dbefd3" w:val="clear"/>
      </w:tcPr>
    </w:tblStylePr>
  </w:style>
  <w:style w:type="table" w:styleId="3" w:customStyle="1">
    <w:name w:val="3"/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  <w:tblStylePr w:type="firstRow">
      <w:rPr>
        <w:b w:val="1"/>
      </w:rPr>
      <w:tblPr/>
      <w:tcPr>
        <w:tcBorders>
          <w:top w:space="0" w:sz="0" w:val="nil"/>
          <w:bottom w:color="93d07c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3d07c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fd3" w:val="clear"/>
      </w:tcPr>
    </w:tblStylePr>
    <w:tblStylePr w:type="band1Horz">
      <w:tblPr/>
      <w:tcPr>
        <w:shd w:color="auto" w:fill="dbefd3" w:val="clear"/>
      </w:tcPr>
    </w:tblStylePr>
  </w:style>
  <w:style w:type="table" w:styleId="2" w:customStyle="1">
    <w:name w:val="2"/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  <w:tblStylePr w:type="firstRow">
      <w:rPr>
        <w:b w:val="1"/>
      </w:rPr>
      <w:tblPr/>
      <w:tcPr>
        <w:tcBorders>
          <w:top w:space="0" w:sz="0" w:val="nil"/>
          <w:bottom w:color="93d07c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3d07c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fd3" w:val="clear"/>
      </w:tcPr>
    </w:tblStylePr>
    <w:tblStylePr w:type="band1Horz">
      <w:tblPr/>
      <w:tcPr>
        <w:shd w:color="auto" w:fill="dbefd3" w:val="clear"/>
      </w:tcPr>
    </w:tblStylePr>
  </w:style>
  <w:style w:type="table" w:styleId="1" w:customStyle="1">
    <w:name w:val="1"/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  <w:tblStylePr w:type="firstRow">
      <w:rPr>
        <w:b w:val="1"/>
      </w:rPr>
      <w:tblPr/>
      <w:tcPr>
        <w:tcBorders>
          <w:top w:space="0" w:sz="0" w:val="nil"/>
          <w:bottom w:color="93d07c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3d07c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fd3" w:val="clear"/>
      </w:tcPr>
    </w:tblStylePr>
    <w:tblStylePr w:type="band1Horz">
      <w:tblPr/>
      <w:tcPr>
        <w:shd w:color="auto" w:fill="dbefd3" w:val="clear"/>
      </w:tcPr>
    </w:tblStylePr>
  </w:style>
  <w:style w:type="table" w:styleId="a" w:customStyle="1">
    <w:basedOn w:val="TableNormal1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0" w:customStyle="1">
    <w:basedOn w:val="TableNormal1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1" w:customStyle="1">
    <w:basedOn w:val="TableNormal1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2" w:customStyle="1">
    <w:basedOn w:val="TableNormal1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3" w:customStyle="1">
    <w:basedOn w:val="TableNormal1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4" w:customStyle="1">
    <w:basedOn w:val="TableNormal1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5" w:customStyle="1">
    <w:basedOn w:val="TableNormal1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6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7" w:customStyle="1">
    <w:basedOn w:val="TableNormal1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1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1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b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  <w:tblStylePr w:type="firstRow">
      <w:rPr>
        <w:b w:val="1"/>
      </w:rPr>
      <w:tblPr/>
      <w:tcPr>
        <w:tcBorders>
          <w:top w:space="0" w:sz="0" w:val="nil"/>
          <w:bottom w:color="93d07c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3d07c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fd3" w:val="clear"/>
      </w:tcPr>
    </w:tblStylePr>
    <w:tblStylePr w:type="band1Horz">
      <w:tblPr/>
      <w:tcPr>
        <w:shd w:color="auto" w:fill="dbefd3" w:val="clear"/>
      </w:tcPr>
    </w:tblStylePr>
  </w:style>
  <w:style w:type="table" w:styleId="ac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d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  <w:tblStylePr w:type="firstRow">
      <w:rPr>
        <w:b w:val="1"/>
      </w:rPr>
      <w:tblPr/>
      <w:tcPr>
        <w:tcBorders>
          <w:top w:space="0" w:sz="0" w:val="nil"/>
          <w:bottom w:color="93d07c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3d07c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fd3" w:val="clear"/>
      </w:tcPr>
    </w:tblStylePr>
    <w:tblStylePr w:type="band1Horz">
      <w:tblPr/>
      <w:tcPr>
        <w:shd w:color="auto" w:fill="dbefd3" w:val="clear"/>
      </w:tcPr>
    </w:tblStylePr>
  </w:style>
  <w:style w:type="table" w:styleId="ae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  <w:tblStylePr w:type="firstRow">
      <w:rPr>
        <w:b w:val="1"/>
      </w:rPr>
      <w:tblPr/>
      <w:tcPr>
        <w:tcBorders>
          <w:top w:space="0" w:sz="0" w:val="nil"/>
          <w:bottom w:color="93d07c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3d07c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fd3" w:val="clear"/>
      </w:tcPr>
    </w:tblStylePr>
    <w:tblStylePr w:type="band1Horz">
      <w:tblPr/>
      <w:tcPr>
        <w:shd w:color="auto" w:fill="dbefd3" w:val="clear"/>
      </w:tcPr>
    </w:tblStylePr>
  </w:style>
  <w:style w:type="table" w:styleId="af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  <w:tblStylePr w:type="firstRow">
      <w:rPr>
        <w:b w:val="1"/>
      </w:rPr>
      <w:tblPr/>
      <w:tcPr>
        <w:tcBorders>
          <w:top w:space="0" w:sz="0" w:val="nil"/>
          <w:bottom w:color="93d07c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3d07c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fd3" w:val="clear"/>
      </w:tcPr>
    </w:tblStylePr>
    <w:tblStylePr w:type="band1Horz">
      <w:tblPr/>
      <w:tcPr>
        <w:shd w:color="auto" w:fill="dbefd3" w:val="clear"/>
      </w:tcPr>
    </w:tblStylePr>
  </w:style>
  <w:style w:type="table" w:styleId="af0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  <w:tblStylePr w:type="firstRow">
      <w:rPr>
        <w:b w:val="1"/>
      </w:rPr>
      <w:tblPr/>
      <w:tcPr>
        <w:tcBorders>
          <w:top w:space="0" w:sz="0" w:val="nil"/>
          <w:bottom w:color="93d07c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3d07c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fd3" w:val="clear"/>
      </w:tcPr>
    </w:tblStylePr>
    <w:tblStylePr w:type="band1Horz">
      <w:tblPr/>
      <w:tcPr>
        <w:shd w:color="auto" w:fill="dbefd3" w:val="clear"/>
      </w:tcPr>
    </w:tblStylePr>
  </w:style>
  <w:style w:type="table" w:styleId="af1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  <w:tblStylePr w:type="firstRow">
      <w:rPr>
        <w:b w:val="1"/>
      </w:rPr>
      <w:tblPr/>
      <w:tcPr>
        <w:tcBorders>
          <w:top w:space="0" w:sz="0" w:val="nil"/>
          <w:bottom w:color="93d07c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3d07c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fd3" w:val="clear"/>
      </w:tcPr>
    </w:tblStylePr>
    <w:tblStylePr w:type="band1Horz">
      <w:tblPr/>
      <w:tcPr>
        <w:shd w:color="auto" w:fill="dbefd3" w:val="clear"/>
      </w:tcPr>
    </w:tblStylePr>
  </w:style>
  <w:style w:type="table" w:styleId="af2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  <w:tblStylePr w:type="firstRow">
      <w:rPr>
        <w:b w:val="1"/>
      </w:rPr>
      <w:tblPr/>
      <w:tcPr>
        <w:tcBorders>
          <w:top w:space="0" w:sz="0" w:val="nil"/>
          <w:bottom w:color="93d07c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3d07c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fd3" w:val="clear"/>
      </w:tcPr>
    </w:tblStylePr>
    <w:tblStylePr w:type="band1Horz">
      <w:tblPr/>
      <w:tcPr>
        <w:shd w:color="auto" w:fill="dbefd3" w:val="clear"/>
      </w:tcPr>
    </w:tblStylePr>
  </w:style>
  <w:style w:type="table" w:styleId="af3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  <w:tblStylePr w:type="firstRow">
      <w:rPr>
        <w:b w:val="1"/>
      </w:rPr>
      <w:tblPr/>
      <w:tcPr>
        <w:tcBorders>
          <w:top w:space="0" w:sz="0" w:val="nil"/>
          <w:bottom w:color="93d07c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3d07c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fd3" w:val="clear"/>
      </w:tcPr>
    </w:tblStylePr>
    <w:tblStylePr w:type="band1Horz">
      <w:tblPr/>
      <w:tcPr>
        <w:shd w:color="auto" w:fill="dbefd3" w:val="clear"/>
      </w:tcPr>
    </w:tblStylePr>
  </w:style>
  <w:style w:type="table" w:styleId="af4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  <w:tblStylePr w:type="firstRow">
      <w:rPr>
        <w:b w:val="1"/>
      </w:rPr>
      <w:tblPr/>
      <w:tcPr>
        <w:tcBorders>
          <w:top w:space="0" w:sz="0" w:val="nil"/>
          <w:bottom w:color="93d07c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3d07c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fd3" w:val="clear"/>
      </w:tcPr>
    </w:tblStylePr>
    <w:tblStylePr w:type="band1Horz">
      <w:tblPr/>
      <w:tcPr>
        <w:shd w:color="auto" w:fill="dbefd3" w:val="clear"/>
      </w:tcPr>
    </w:tblStylePr>
  </w:style>
  <w:style w:type="table" w:styleId="af5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  <w:tblStylePr w:type="firstRow">
      <w:rPr>
        <w:b w:val="1"/>
      </w:rPr>
      <w:tblPr/>
      <w:tcPr>
        <w:tcBorders>
          <w:top w:space="0" w:sz="0" w:val="nil"/>
          <w:bottom w:color="93d07c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3d07c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fd3" w:val="clear"/>
      </w:tcPr>
    </w:tblStylePr>
    <w:tblStylePr w:type="band1Horz">
      <w:tblPr/>
      <w:tcPr>
        <w:shd w:color="auto" w:fill="dbefd3" w:val="clear"/>
      </w:tcPr>
    </w:tblStylePr>
  </w:style>
  <w:style w:type="table" w:styleId="af6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  <w:tblStylePr w:type="firstRow">
      <w:rPr>
        <w:b w:val="1"/>
      </w:rPr>
      <w:tblPr/>
      <w:tcPr>
        <w:tcBorders>
          <w:top w:space="0" w:sz="0" w:val="nil"/>
          <w:bottom w:color="93d07c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3d07c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fd3" w:val="clear"/>
      </w:tcPr>
    </w:tblStylePr>
    <w:tblStylePr w:type="band1Horz">
      <w:tblPr/>
      <w:tcPr>
        <w:shd w:color="auto" w:fill="dbefd3" w:val="clear"/>
      </w:tcPr>
    </w:tblStylePr>
  </w:style>
  <w:style w:type="paragraph" w:styleId="ListBullet">
    <w:name w:val="List Bullet"/>
    <w:basedOn w:val="Normal"/>
    <w:uiPriority w:val="99"/>
    <w:unhideWhenUsed w:val="1"/>
    <w:rsid w:val="00300C64"/>
    <w:pPr>
      <w:numPr>
        <w:numId w:val="28"/>
      </w:numPr>
      <w:spacing w:after="200" w:line="276" w:lineRule="auto"/>
      <w:contextualSpacing w:val="1"/>
    </w:pPr>
    <w:rPr>
      <w:rFonts w:asciiTheme="minorHAnsi" w:cstheme="minorBidi" w:eastAsiaTheme="minorEastAsia" w:hAnsiTheme="minorHAnsi"/>
      <w:sz w:val="22"/>
      <w:szCs w:val="22"/>
      <w:lang w:eastAsia="en-US" w:val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eader" Target="header2.xml"/><Relationship Id="rId13" Type="http://schemas.openxmlformats.org/officeDocument/2006/relationships/footer" Target="footer3.xml"/><Relationship Id="rId12" Type="http://schemas.openxmlformats.org/officeDocument/2006/relationships/footer" Target="foot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ala.org/acrl/standards" TargetMode="External"/><Relationship Id="rId14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Groen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x70xMl/PY/BzJE4QC29hQaNf+Q==">CgMxLjAyDmguNzNsYmkwbjhoZGo2MgloLjIzY2t2dmQ4AHIhMW1jeHZNSl9nZUpHSmplUC0wbGRzRFpPbzZnUHBQTTR0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2024-05-14T10:34:00.0000000Z</dcterms:created>
  <dc:creator>Karousiou</dc:creator>
</cp:coreProperties>
</file>